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89" w:rsidRPr="00087489" w:rsidRDefault="00087489" w:rsidP="00087489">
      <w:r w:rsidRPr="00087489">
        <w:t>ПЕДАГОГИЧЕСКИЕ КАДРЫ МБДОУ № 11</w:t>
      </w:r>
    </w:p>
    <w:p w:rsidR="00087489" w:rsidRPr="00087489" w:rsidRDefault="00087489" w:rsidP="00087489">
      <w:r w:rsidRPr="00087489">
        <w:t> </w:t>
      </w:r>
    </w:p>
    <w:tbl>
      <w:tblPr>
        <w:tblW w:w="93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763"/>
        <w:gridCol w:w="1415"/>
        <w:gridCol w:w="1270"/>
        <w:gridCol w:w="1400"/>
        <w:gridCol w:w="1366"/>
        <w:gridCol w:w="1915"/>
      </w:tblGrid>
      <w:tr w:rsidR="00087489" w:rsidRPr="00087489" w:rsidTr="00087489">
        <w:trPr>
          <w:trHeight w:val="929"/>
          <w:jc w:val="center"/>
        </w:trPr>
        <w:tc>
          <w:tcPr>
            <w:tcW w:w="226" w:type="dxa"/>
            <w:tcBorders>
              <w:top w:val="single" w:sz="8" w:space="0" w:color="FC905A"/>
              <w:left w:val="single" w:sz="8" w:space="0" w:color="FC905A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№</w:t>
            </w:r>
          </w:p>
        </w:tc>
        <w:tc>
          <w:tcPr>
            <w:tcW w:w="1807" w:type="dxa"/>
            <w:tcBorders>
              <w:top w:val="single" w:sz="8" w:space="0" w:color="FC905A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Фамилия, имя, отчество</w:t>
            </w:r>
          </w:p>
        </w:tc>
        <w:tc>
          <w:tcPr>
            <w:tcW w:w="1431" w:type="dxa"/>
            <w:tcBorders>
              <w:top w:val="single" w:sz="8" w:space="0" w:color="FC905A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Должность</w:t>
            </w:r>
          </w:p>
        </w:tc>
        <w:tc>
          <w:tcPr>
            <w:tcW w:w="1194" w:type="dxa"/>
            <w:tcBorders>
              <w:top w:val="single" w:sz="8" w:space="0" w:color="FC905A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Образование</w:t>
            </w:r>
          </w:p>
        </w:tc>
        <w:tc>
          <w:tcPr>
            <w:tcW w:w="1401" w:type="dxa"/>
            <w:tcBorders>
              <w:top w:val="single" w:sz="8" w:space="0" w:color="FC905A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Квалификация по диплому</w:t>
            </w:r>
          </w:p>
        </w:tc>
        <w:tc>
          <w:tcPr>
            <w:tcW w:w="1393" w:type="dxa"/>
            <w:tcBorders>
              <w:top w:val="single" w:sz="8" w:space="0" w:color="FC905A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Категория</w:t>
            </w:r>
          </w:p>
        </w:tc>
        <w:tc>
          <w:tcPr>
            <w:tcW w:w="1919" w:type="dxa"/>
            <w:tcBorders>
              <w:top w:val="single" w:sz="8" w:space="0" w:color="FC905A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Общий стаж/</w:t>
            </w:r>
            <w:proofErr w:type="spellStart"/>
            <w:r w:rsidRPr="00087489">
              <w:t>Педагоческий</w:t>
            </w:r>
            <w:proofErr w:type="spellEnd"/>
            <w:r w:rsidRPr="00087489">
              <w:t xml:space="preserve"> стаж работы</w:t>
            </w:r>
          </w:p>
        </w:tc>
      </w:tr>
      <w:tr w:rsidR="00087489" w:rsidRPr="00087489" w:rsidTr="00087489">
        <w:trPr>
          <w:trHeight w:val="1244"/>
          <w:jc w:val="center"/>
        </w:trPr>
        <w:tc>
          <w:tcPr>
            <w:tcW w:w="226" w:type="dxa"/>
            <w:tcBorders>
              <w:top w:val="nil"/>
              <w:left w:val="single" w:sz="8" w:space="0" w:color="FC905A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Вепрева Инна Викторовна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заведующая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высшее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 воспитатель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СЗД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33 лет /33 лет</w:t>
            </w:r>
          </w:p>
        </w:tc>
      </w:tr>
      <w:tr w:rsidR="00087489" w:rsidRPr="00087489" w:rsidTr="00087489">
        <w:trPr>
          <w:trHeight w:val="929"/>
          <w:jc w:val="center"/>
        </w:trPr>
        <w:tc>
          <w:tcPr>
            <w:tcW w:w="226" w:type="dxa"/>
            <w:tcBorders>
              <w:top w:val="nil"/>
              <w:left w:val="single" w:sz="8" w:space="0" w:color="FC905A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Ефремова Галина Федоровна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воспитатель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среднее специальное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воспитатель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СЗД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37 лет/18лет</w:t>
            </w:r>
          </w:p>
        </w:tc>
      </w:tr>
      <w:tr w:rsidR="00087489" w:rsidRPr="00087489" w:rsidTr="00087489">
        <w:trPr>
          <w:trHeight w:val="1210"/>
          <w:jc w:val="center"/>
        </w:trPr>
        <w:tc>
          <w:tcPr>
            <w:tcW w:w="226" w:type="dxa"/>
            <w:tcBorders>
              <w:top w:val="nil"/>
              <w:left w:val="single" w:sz="8" w:space="0" w:color="FC905A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807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40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919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</w:t>
            </w:r>
          </w:p>
        </w:tc>
      </w:tr>
      <w:tr w:rsidR="00087489" w:rsidRPr="00087489" w:rsidTr="00087489">
        <w:trPr>
          <w:trHeight w:val="1210"/>
          <w:jc w:val="center"/>
        </w:trPr>
        <w:tc>
          <w:tcPr>
            <w:tcW w:w="226" w:type="dxa"/>
            <w:tcBorders>
              <w:top w:val="nil"/>
              <w:left w:val="single" w:sz="8" w:space="0" w:color="FC905A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807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194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393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  <w:tc>
          <w:tcPr>
            <w:tcW w:w="1919" w:type="dxa"/>
            <w:tcBorders>
              <w:top w:val="nil"/>
              <w:left w:val="nil"/>
              <w:bottom w:val="single" w:sz="8" w:space="0" w:color="FC905A"/>
              <w:right w:val="single" w:sz="8" w:space="0" w:color="FC905A"/>
            </w:tcBorders>
            <w:shd w:val="clear" w:color="auto" w:fill="FFFFFF"/>
            <w:hideMark/>
          </w:tcPr>
          <w:p w:rsidR="00087489" w:rsidRPr="00087489" w:rsidRDefault="00087489" w:rsidP="00087489"/>
        </w:tc>
      </w:tr>
    </w:tbl>
    <w:p w:rsidR="00087489" w:rsidRPr="00087489" w:rsidRDefault="00087489" w:rsidP="00087489">
      <w:r w:rsidRPr="00087489">
        <w:t> </w:t>
      </w:r>
    </w:p>
    <w:p w:rsidR="00087489" w:rsidRPr="00087489" w:rsidRDefault="00087489" w:rsidP="00087489">
      <w:r w:rsidRPr="00087489">
        <w:t>Курсовая подготовка педагогических кадров</w:t>
      </w:r>
    </w:p>
    <w:p w:rsidR="00087489" w:rsidRPr="00087489" w:rsidRDefault="00087489" w:rsidP="00087489">
      <w:r w:rsidRPr="00087489">
        <w:t> </w:t>
      </w:r>
    </w:p>
    <w:tbl>
      <w:tblPr>
        <w:tblW w:w="9718" w:type="dxa"/>
        <w:tblInd w:w="15" w:type="dxa"/>
        <w:shd w:val="clear" w:color="auto" w:fill="F7A28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318"/>
        <w:gridCol w:w="1365"/>
        <w:gridCol w:w="3168"/>
        <w:gridCol w:w="1499"/>
        <w:gridCol w:w="2112"/>
      </w:tblGrid>
      <w:tr w:rsidR="00087489" w:rsidRPr="00087489" w:rsidTr="00087489">
        <w:trPr>
          <w:trHeight w:val="287"/>
        </w:trPr>
        <w:tc>
          <w:tcPr>
            <w:tcW w:w="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bookmarkStart w:id="0" w:name="_GoBack"/>
            <w:r w:rsidRPr="00087489">
              <w:t> 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Ф.И.О.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Должность</w:t>
            </w:r>
          </w:p>
        </w:tc>
        <w:tc>
          <w:tcPr>
            <w:tcW w:w="66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Действующая курсовая подготовка</w:t>
            </w:r>
          </w:p>
        </w:tc>
      </w:tr>
      <w:bookmarkEnd w:id="0"/>
      <w:tr w:rsidR="00087489" w:rsidRPr="00087489" w:rsidTr="00087489">
        <w:trPr>
          <w:trHeight w:val="2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vAlign w:val="center"/>
            <w:hideMark/>
          </w:tcPr>
          <w:p w:rsidR="00087489" w:rsidRPr="00087489" w:rsidRDefault="00087489" w:rsidP="0008748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vAlign w:val="center"/>
            <w:hideMark/>
          </w:tcPr>
          <w:p w:rsidR="00087489" w:rsidRPr="00087489" w:rsidRDefault="00087489" w:rsidP="0008748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vAlign w:val="center"/>
            <w:hideMark/>
          </w:tcPr>
          <w:p w:rsidR="00087489" w:rsidRPr="00087489" w:rsidRDefault="00087489" w:rsidP="00087489"/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Тема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Дата прохождения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Место проведения</w:t>
            </w:r>
          </w:p>
        </w:tc>
      </w:tr>
      <w:tr w:rsidR="00087489" w:rsidRPr="00087489" w:rsidTr="00087489">
        <w:trPr>
          <w:trHeight w:val="144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Вепрева Инна Викторовна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воспитатель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 xml:space="preserve">«Формирование </w:t>
            </w:r>
            <w:proofErr w:type="gramStart"/>
            <w:r w:rsidRPr="00087489">
              <w:t>универсальных учебных действий</w:t>
            </w:r>
            <w:proofErr w:type="gramEnd"/>
            <w:r w:rsidRPr="00087489">
              <w:t xml:space="preserve"> обучающихся в условиях информационно-образовательной среды школы» в рамках реализации проекта «информационная система образования». Проведение закупок государственными и муниципальными учреждениями</w:t>
            </w:r>
          </w:p>
          <w:p w:rsidR="00087489" w:rsidRPr="00087489" w:rsidRDefault="00087489" w:rsidP="00087489">
            <w:r w:rsidRPr="00087489">
              <w:t>"Особенности организации образовательной деятельности обучающихся дошкольного возраста с ОВЗ"</w:t>
            </w:r>
          </w:p>
          <w:p w:rsidR="00087489" w:rsidRPr="00087489" w:rsidRDefault="00087489" w:rsidP="00087489">
            <w:r w:rsidRPr="00087489">
              <w:lastRenderedPageBreak/>
              <w:t> </w:t>
            </w:r>
          </w:p>
          <w:p w:rsidR="00087489" w:rsidRPr="00087489" w:rsidRDefault="00087489" w:rsidP="00087489">
            <w:r w:rsidRPr="00087489">
              <w:t>Проектирование и реализация курса "Основы финансовой грамотности для дошкольников " в ДОУ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 xml:space="preserve">Эффективные способы развития </w:t>
            </w:r>
            <w:proofErr w:type="spellStart"/>
            <w:r w:rsidRPr="00087489">
              <w:t>позновательной</w:t>
            </w:r>
            <w:proofErr w:type="spellEnd"/>
            <w:r w:rsidRPr="00087489">
              <w:t xml:space="preserve"> мотивации, активности и инициативы методом </w:t>
            </w:r>
            <w:proofErr w:type="spellStart"/>
            <w:r w:rsidRPr="00087489">
              <w:t>эксперементирования</w:t>
            </w:r>
            <w:proofErr w:type="spellEnd"/>
            <w:r w:rsidRPr="00087489">
              <w:t xml:space="preserve"> в ДОО в соответствии с ФГОС ДО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"ФОП дошкольного образования 2023: внедрение, структура и реализация"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lastRenderedPageBreak/>
              <w:t>Март и июнь 2015 года.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lastRenderedPageBreak/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с12 по 20 декабря 2016г.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lastRenderedPageBreak/>
              <w:t> с 01.04.2019г по 30.04.2019г.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14.11.2022г.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с 01.09.2023г. по 29.09.2023г.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lastRenderedPageBreak/>
              <w:t>ХК ИРО выездные в районе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lastRenderedPageBreak/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ООО "Издательство учитель"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lastRenderedPageBreak/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ООО "Межрегиональный институт повышения квалификации и переподготовки"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АНО "НИИДПО"</w:t>
            </w:r>
          </w:p>
        </w:tc>
      </w:tr>
      <w:tr w:rsidR="00087489" w:rsidRPr="00087489" w:rsidTr="00087489">
        <w:trPr>
          <w:trHeight w:val="144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lastRenderedPageBreak/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Ефремова Галина Федоровна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воспитатель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 xml:space="preserve">повышения квалификации ХК ИРО педагогических работников дошкольных образовательных организаций ФГОС ДОО" "Особенности </w:t>
            </w:r>
            <w:proofErr w:type="spellStart"/>
            <w:r w:rsidRPr="00087489">
              <w:t>оганизации</w:t>
            </w:r>
            <w:proofErr w:type="spellEnd"/>
            <w:r w:rsidRPr="00087489">
              <w:t xml:space="preserve"> образовательной деятельности обучающихся дошкольного возраста с ОВЗ"</w:t>
            </w:r>
          </w:p>
          <w:p w:rsidR="00087489" w:rsidRPr="00087489" w:rsidRDefault="00087489" w:rsidP="00087489">
            <w:r w:rsidRPr="00087489">
              <w:t> Проектирование и реализация курса "Основы финансовой грамотности для дошкольников" в ДОО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 xml:space="preserve">Эффективные способы развития </w:t>
            </w:r>
            <w:proofErr w:type="spellStart"/>
            <w:r w:rsidRPr="00087489">
              <w:t>позновательной</w:t>
            </w:r>
            <w:proofErr w:type="spellEnd"/>
            <w:r w:rsidRPr="00087489">
              <w:t xml:space="preserve"> </w:t>
            </w:r>
            <w:proofErr w:type="gramStart"/>
            <w:r w:rsidRPr="00087489">
              <w:t>мотивации ,</w:t>
            </w:r>
            <w:proofErr w:type="gramEnd"/>
            <w:r w:rsidRPr="00087489">
              <w:t xml:space="preserve"> активности и </w:t>
            </w:r>
            <w:r w:rsidRPr="00087489">
              <w:lastRenderedPageBreak/>
              <w:t xml:space="preserve">инициативы </w:t>
            </w:r>
            <w:proofErr w:type="spellStart"/>
            <w:r w:rsidRPr="00087489">
              <w:t>методомэксперементирования</w:t>
            </w:r>
            <w:proofErr w:type="spellEnd"/>
            <w:r w:rsidRPr="00087489">
              <w:t xml:space="preserve"> в ДОО в соответствии с ФГОС ДО"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ФОП дошкольного образования 2023: внедрение, структура и реализация"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lastRenderedPageBreak/>
              <w:t>С 05.10.2015г. по 10.10.2015г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lastRenderedPageBreak/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с12 по 20 декабря 2016г.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с 01.04.2019г по 30.04.2019г.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14.11.2022г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с 01.09.2023г. по 29.09.2023г.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lastRenderedPageBreak/>
              <w:t>ХК ИРО выездные в районе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lastRenderedPageBreak/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ООО "Издательство учитель"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ООО "Международный институт повышения квалификации и переподготовки</w:t>
            </w:r>
          </w:p>
          <w:p w:rsidR="00087489" w:rsidRPr="00087489" w:rsidRDefault="00087489" w:rsidP="00087489">
            <w:r w:rsidRPr="00087489">
              <w:t> </w:t>
            </w:r>
          </w:p>
          <w:p w:rsidR="00087489" w:rsidRPr="00087489" w:rsidRDefault="00087489" w:rsidP="00087489">
            <w:r w:rsidRPr="00087489">
              <w:t>АНО "НИИДПО"</w:t>
            </w:r>
          </w:p>
        </w:tc>
      </w:tr>
      <w:tr w:rsidR="00087489" w:rsidRPr="00087489" w:rsidTr="00087489">
        <w:trPr>
          <w:trHeight w:val="144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/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/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</w:tr>
      <w:tr w:rsidR="00087489" w:rsidRPr="00087489" w:rsidTr="00087489">
        <w:trPr>
          <w:trHeight w:val="144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/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</w:tr>
      <w:tr w:rsidR="00087489" w:rsidRPr="00087489" w:rsidTr="00087489">
        <w:trPr>
          <w:trHeight w:val="144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/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</w:tr>
      <w:tr w:rsidR="00087489" w:rsidRPr="00087489" w:rsidTr="00087489">
        <w:trPr>
          <w:trHeight w:val="144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/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A2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489" w:rsidRPr="00087489" w:rsidRDefault="00087489" w:rsidP="00087489">
            <w:r w:rsidRPr="00087489">
              <w:t> </w:t>
            </w:r>
          </w:p>
        </w:tc>
      </w:tr>
    </w:tbl>
    <w:p w:rsidR="00087489" w:rsidRPr="00087489" w:rsidRDefault="00087489" w:rsidP="00087489">
      <w:r w:rsidRPr="00087489">
        <w:t> </w:t>
      </w:r>
    </w:p>
    <w:p w:rsidR="00D10911" w:rsidRDefault="00D10911"/>
    <w:sectPr w:rsidR="00D1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9"/>
    <w:rsid w:val="00087489"/>
    <w:rsid w:val="00D1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D6320-05B6-4520-9931-6CEB9C9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489"/>
    <w:rPr>
      <w:b/>
      <w:bCs/>
    </w:rPr>
  </w:style>
  <w:style w:type="character" w:styleId="a5">
    <w:name w:val="Emphasis"/>
    <w:basedOn w:val="a0"/>
    <w:uiPriority w:val="20"/>
    <w:qFormat/>
    <w:rsid w:val="00087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2024-03-26T09:42:00Z</dcterms:created>
  <dcterms:modified xsi:type="dcterms:W3CDTF">2024-03-26T09:43:00Z</dcterms:modified>
</cp:coreProperties>
</file>